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Приложение 4 / Ф 02-85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jc w:val="center"/>
        <w:spacing w:before="120" w:after="12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Смывы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 объектов внешней среды и материала на стерильность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</w:p>
    <w:tbl>
      <w:tblPr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409"/>
        <w:gridCol w:w="2268"/>
        <w:gridCol w:w="1985"/>
        <w:gridCol w:w="1559"/>
        <w:gridCol w:w="1418"/>
        <w:gridCol w:w="2976"/>
      </w:tblGrid>
      <w:tr>
        <w:tblPrEx/>
        <w:trPr>
          <w:cantSplit/>
          <w:trHeight w:val="180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отбора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(от и до)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Точка отбора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помещения и т.д.)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 точки отбора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смыва,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материала на стерильность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стерилизации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стерильного материала)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Исследуемые показатели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/>
              </w:rPr>
              <w:t xml:space="preserve">НД на метод отбора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/>
              </w:rPr>
              <w:t xml:space="preserve">НД, регламентирующий оценку лабораторных испытаний</w:t>
            </w:r>
            <w:r>
              <w:rPr>
                <w:rFonts w:ascii="Times New Roman" w:hAnsi="Times New Roman" w:eastAsia="Times New Roman" w:cs="Times New Roman"/>
                <w:color w:val="auto"/>
                <w:lang w:eastAsia="zh-CN"/>
              </w:rPr>
            </w:r>
          </w:p>
        </w:tc>
      </w:tr>
      <w:tr>
        <w:tblPrEx/>
        <w:trPr>
          <w:trHeight w:val="10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______ : ______ доставки в ГПРиКП _____________________________________________ 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дата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время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(заполняет сотрудник ГПРиКП)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п</w:t>
      </w:r>
      <w:r>
        <w:rPr>
          <w:rFonts w:ascii="Times New Roman" w:hAnsi="Times New Roman" w:cs="Times New Roman"/>
          <w:sz w:val="24"/>
          <w:vertAlign w:val="superscript"/>
        </w:rPr>
        <w:t xml:space="preserve">одпись сотрудника, принявшего пробу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ФИО </w:t>
      </w:r>
      <w:r>
        <w:rPr>
          <w:rFonts w:ascii="Times New Roman" w:hAnsi="Times New Roman" w:cs="Times New Roman"/>
          <w:sz w:val="24"/>
          <w:lang w:eastAsia="ru-RU"/>
        </w:rPr>
        <w:t xml:space="preserve">стороннего пробоотборщика: 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МЕСТО ОТБОРА</w:t>
      </w:r>
      <w:r>
        <w:rPr>
          <w:rFonts w:ascii="Times New Roman" w:hAnsi="Times New Roman" w:cs="Times New Roman"/>
          <w:b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Наименование, юридический адрес субъекта: ________________________________________________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3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Заявителе)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</w:p>
    <w:p>
      <w:pPr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Должность, ФИО, направившего пробу (образец) на исследования: ______________________________________________________________________________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r/>
      <w:r/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134" w:right="1134" w:bottom="1134" w:left="709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